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3645" w14:textId="74537313" w:rsidR="002942B1" w:rsidRPr="005C4D81" w:rsidRDefault="008F0138" w:rsidP="005C4D81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5C4D81">
        <w:rPr>
          <w:rFonts w:ascii="Courier New" w:hAnsi="Courier New" w:cs="Courier New"/>
          <w:b/>
          <w:bCs/>
          <w:sz w:val="40"/>
          <w:szCs w:val="40"/>
        </w:rPr>
        <w:t xml:space="preserve">Update der VDWF-Richtlinie: </w:t>
      </w:r>
      <w:r w:rsidR="00A41998">
        <w:rPr>
          <w:rFonts w:ascii="Courier New" w:hAnsi="Courier New" w:cs="Courier New"/>
          <w:b/>
          <w:bCs/>
          <w:sz w:val="40"/>
          <w:szCs w:val="40"/>
        </w:rPr>
        <w:t xml:space="preserve">Die zweite, erweiterte Ausgabe der </w:t>
      </w:r>
      <w:r w:rsidR="00565779" w:rsidRPr="005C4D81">
        <w:rPr>
          <w:rFonts w:ascii="Courier New" w:hAnsi="Courier New" w:cs="Courier New"/>
          <w:b/>
          <w:bCs/>
          <w:sz w:val="40"/>
          <w:szCs w:val="40"/>
        </w:rPr>
        <w:t xml:space="preserve">Farbtabelle ist am Start </w:t>
      </w:r>
    </w:p>
    <w:p w14:paraId="27C9CD2B" w14:textId="77777777" w:rsidR="008F0138" w:rsidRDefault="008F0138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7054616" w14:textId="77777777" w:rsid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5071ED3" w14:textId="77777777" w:rsidR="005C4D81" w:rsidRP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1A5885C" w14:textId="2C754093" w:rsidR="00000D0B" w:rsidRDefault="00245330" w:rsidP="00000D0B">
      <w:pPr>
        <w:spacing w:line="360" w:lineRule="auto"/>
        <w:contextualSpacing/>
      </w:pPr>
      <w:r w:rsidRPr="005C4D81">
        <w:rPr>
          <w:rFonts w:ascii="Courier New" w:hAnsi="Courier New" w:cs="Courier New"/>
          <w:b/>
          <w:bCs/>
          <w:sz w:val="20"/>
          <w:szCs w:val="20"/>
        </w:rPr>
        <w:t>Bereits im Frühjahr 2019 wurde vom VDWF der „Arbeitskreis Farbtabelle“ unter Leitung von Dirk Falke initiiert, um die Weichen für eine reibungslosere Digitalisierung von Fertigungsabläufen innerhalb der Branche zu stellen</w:t>
      </w:r>
      <w:r w:rsidR="00466194">
        <w:rPr>
          <w:rFonts w:ascii="Courier New" w:hAnsi="Courier New" w:cs="Courier New"/>
          <w:b/>
          <w:bCs/>
          <w:sz w:val="20"/>
          <w:szCs w:val="20"/>
        </w:rPr>
        <w:t>.</w:t>
      </w:r>
      <w:r w:rsidR="00466194" w:rsidRPr="005C4D8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C4D81">
        <w:rPr>
          <w:rFonts w:ascii="Courier New" w:hAnsi="Courier New" w:cs="Courier New"/>
          <w:b/>
          <w:bCs/>
          <w:sz w:val="20"/>
          <w:szCs w:val="20"/>
        </w:rPr>
        <w:t xml:space="preserve">Je mehr Dienstleister und Partner an einem Projekt beteiligt sind, </w:t>
      </w:r>
      <w:r w:rsidR="00076A0D" w:rsidRPr="005C4D81">
        <w:rPr>
          <w:rFonts w:ascii="Courier New" w:hAnsi="Courier New" w:cs="Courier New"/>
          <w:b/>
          <w:bCs/>
          <w:sz w:val="20"/>
          <w:szCs w:val="20"/>
        </w:rPr>
        <w:t>desto</w:t>
      </w:r>
      <w:r w:rsidRPr="005C4D81">
        <w:rPr>
          <w:rFonts w:ascii="Courier New" w:hAnsi="Courier New" w:cs="Courier New"/>
          <w:b/>
          <w:bCs/>
          <w:sz w:val="20"/>
          <w:szCs w:val="20"/>
        </w:rPr>
        <w:t xml:space="preserve"> wichtiger ist es, auf eine einheitliche </w:t>
      </w:r>
      <w:r w:rsidR="00000D0B" w:rsidRPr="005C4D81">
        <w:rPr>
          <w:rFonts w:ascii="Courier New" w:hAnsi="Courier New" w:cs="Courier New"/>
          <w:b/>
          <w:bCs/>
          <w:sz w:val="20"/>
          <w:szCs w:val="20"/>
        </w:rPr>
        <w:t>Farbcodierung zurückzugreifen</w:t>
      </w:r>
      <w:r w:rsidR="00000D0B">
        <w:rPr>
          <w:rFonts w:ascii="Courier New" w:hAnsi="Courier New" w:cs="Courier New"/>
          <w:b/>
          <w:bCs/>
          <w:sz w:val="20"/>
          <w:szCs w:val="20"/>
        </w:rPr>
        <w:t>.</w:t>
      </w:r>
      <w:r w:rsidRPr="005C4D81">
        <w:rPr>
          <w:rFonts w:ascii="Courier New" w:hAnsi="Courier New" w:cs="Courier New"/>
          <w:b/>
          <w:bCs/>
          <w:sz w:val="20"/>
          <w:szCs w:val="20"/>
        </w:rPr>
        <w:t xml:space="preserve"> Nach etwa drei Jahren Erprobung in der Praxis wurde die</w:t>
      </w:r>
      <w:r w:rsidR="00076A0D" w:rsidRPr="005C4D81">
        <w:rPr>
          <w:rFonts w:ascii="Courier New" w:hAnsi="Courier New" w:cs="Courier New"/>
          <w:b/>
          <w:bCs/>
          <w:sz w:val="20"/>
          <w:szCs w:val="20"/>
        </w:rPr>
        <w:t xml:space="preserve"> VDWF-</w:t>
      </w:r>
      <w:r w:rsidR="00000D0B">
        <w:rPr>
          <w:rFonts w:ascii="Courier New" w:hAnsi="Courier New" w:cs="Courier New"/>
          <w:b/>
          <w:bCs/>
          <w:sz w:val="20"/>
          <w:szCs w:val="20"/>
        </w:rPr>
        <w:t>Richtlinie</w:t>
      </w:r>
      <w:r w:rsidR="00076A0D" w:rsidRPr="005C4D8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00D0B">
        <w:rPr>
          <w:rFonts w:ascii="Courier New" w:hAnsi="Courier New" w:cs="Courier New"/>
          <w:b/>
          <w:bCs/>
          <w:sz w:val="20"/>
          <w:szCs w:val="20"/>
        </w:rPr>
        <w:t>„</w:t>
      </w:r>
      <w:r w:rsidR="00000D0B" w:rsidRPr="00000D0B">
        <w:rPr>
          <w:rFonts w:ascii="Courier New" w:hAnsi="Courier New" w:cs="Courier New"/>
          <w:b/>
          <w:bCs/>
          <w:sz w:val="20"/>
          <w:szCs w:val="20"/>
        </w:rPr>
        <w:t xml:space="preserve">Farbtabelle zur </w:t>
      </w:r>
      <w:proofErr w:type="spellStart"/>
      <w:r w:rsidR="00000D0B" w:rsidRPr="00000D0B">
        <w:rPr>
          <w:rFonts w:ascii="Courier New" w:hAnsi="Courier New" w:cs="Courier New"/>
          <w:b/>
          <w:bCs/>
          <w:sz w:val="20"/>
          <w:szCs w:val="20"/>
        </w:rPr>
        <w:t>CAD-gestützten</w:t>
      </w:r>
      <w:proofErr w:type="spellEnd"/>
      <w:r w:rsidR="00000D0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00D0B" w:rsidRPr="00000D0B">
        <w:rPr>
          <w:rFonts w:ascii="Courier New" w:hAnsi="Courier New" w:cs="Courier New"/>
          <w:b/>
          <w:bCs/>
          <w:sz w:val="20"/>
          <w:szCs w:val="20"/>
        </w:rPr>
        <w:t>Übermittlung von Toleranzen im Werkzeug- und Formenbau</w:t>
      </w:r>
      <w:r w:rsidR="003D0AD5">
        <w:rPr>
          <w:rFonts w:ascii="Courier New" w:hAnsi="Courier New" w:cs="Courier New"/>
          <w:b/>
          <w:bCs/>
          <w:sz w:val="20"/>
          <w:szCs w:val="20"/>
        </w:rPr>
        <w:t>“</w:t>
      </w:r>
      <w:r w:rsidR="00000D0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076A0D" w:rsidRPr="005C4D81">
        <w:rPr>
          <w:rFonts w:ascii="Courier New" w:hAnsi="Courier New" w:cs="Courier New"/>
          <w:b/>
          <w:bCs/>
          <w:sz w:val="20"/>
          <w:szCs w:val="20"/>
        </w:rPr>
        <w:t>nun überarbeitet und erweitert.</w:t>
      </w:r>
      <w:r w:rsidR="00000D0B" w:rsidRPr="00000D0B">
        <w:t xml:space="preserve"> </w:t>
      </w:r>
    </w:p>
    <w:p w14:paraId="1D987A92" w14:textId="77777777" w:rsidR="00000D0B" w:rsidRDefault="00000D0B" w:rsidP="00000D0B">
      <w:pPr>
        <w:spacing w:line="360" w:lineRule="auto"/>
        <w:contextualSpacing/>
      </w:pPr>
    </w:p>
    <w:p w14:paraId="47EF226F" w14:textId="5BA0DB4B" w:rsidR="008F0138" w:rsidRDefault="00CD33A8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5C4D81">
        <w:rPr>
          <w:rFonts w:ascii="Courier New" w:hAnsi="Courier New" w:cs="Courier New"/>
          <w:sz w:val="20"/>
          <w:szCs w:val="20"/>
        </w:rPr>
        <w:t xml:space="preserve">Kooperationen – </w:t>
      </w:r>
      <w:r w:rsidR="00466194">
        <w:rPr>
          <w:rFonts w:ascii="Courier New" w:hAnsi="Courier New" w:cs="Courier New"/>
          <w:sz w:val="20"/>
          <w:szCs w:val="20"/>
        </w:rPr>
        <w:t>in Anbetracht</w:t>
      </w:r>
      <w:r w:rsidRPr="005C4D81">
        <w:rPr>
          <w:rFonts w:ascii="Courier New" w:hAnsi="Courier New" w:cs="Courier New"/>
          <w:sz w:val="20"/>
          <w:szCs w:val="20"/>
        </w:rPr>
        <w:t xml:space="preserve"> der </w:t>
      </w:r>
      <w:r w:rsidR="00000D0B">
        <w:rPr>
          <w:rFonts w:ascii="Courier New" w:hAnsi="Courier New" w:cs="Courier New"/>
          <w:sz w:val="20"/>
          <w:szCs w:val="20"/>
        </w:rPr>
        <w:t>sich verändernden Rahmenbedingungen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im Werkzeug- und Formenbau</w:t>
      </w:r>
      <w:r w:rsidRPr="005C4D81">
        <w:rPr>
          <w:rFonts w:ascii="Courier New" w:hAnsi="Courier New" w:cs="Courier New"/>
          <w:sz w:val="20"/>
          <w:szCs w:val="20"/>
        </w:rPr>
        <w:t xml:space="preserve"> sicher ein Zukunftsthema.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Umso wichtiger ist es, verlässliche Richtlinien zu besitzen, die einen problemlosen Datenaustausch ermöglichen. Der VDWF arbeitet bereits seit Jahren an dieser Thematik und hat </w:t>
      </w:r>
      <w:r w:rsidR="00000D0B">
        <w:rPr>
          <w:rFonts w:ascii="Courier New" w:hAnsi="Courier New" w:cs="Courier New"/>
          <w:sz w:val="20"/>
          <w:szCs w:val="20"/>
        </w:rPr>
        <w:t>nun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ein Update </w:t>
      </w:r>
      <w:r w:rsidR="00A41998">
        <w:rPr>
          <w:rFonts w:ascii="Courier New" w:hAnsi="Courier New" w:cs="Courier New"/>
          <w:sz w:val="20"/>
          <w:szCs w:val="20"/>
        </w:rPr>
        <w:t>veröffentlicht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, </w:t>
      </w:r>
      <w:r w:rsidR="005E5780">
        <w:rPr>
          <w:rFonts w:ascii="Courier New" w:hAnsi="Courier New" w:cs="Courier New"/>
          <w:sz w:val="20"/>
          <w:szCs w:val="20"/>
        </w:rPr>
        <w:t>in dem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</w:t>
      </w:r>
      <w:r w:rsidR="00000D0B">
        <w:rPr>
          <w:rFonts w:ascii="Courier New" w:hAnsi="Courier New" w:cs="Courier New"/>
          <w:sz w:val="20"/>
          <w:szCs w:val="20"/>
        </w:rPr>
        <w:t>Rückmeldungen aus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Praxisberichte</w:t>
      </w:r>
      <w:r w:rsidR="00A41998">
        <w:rPr>
          <w:rFonts w:ascii="Courier New" w:hAnsi="Courier New" w:cs="Courier New"/>
          <w:sz w:val="20"/>
          <w:szCs w:val="20"/>
        </w:rPr>
        <w:t>n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</w:t>
      </w:r>
      <w:r w:rsidR="005E5780">
        <w:rPr>
          <w:rFonts w:ascii="Courier New" w:hAnsi="Courier New" w:cs="Courier New"/>
          <w:sz w:val="20"/>
          <w:szCs w:val="20"/>
        </w:rPr>
        <w:t>eingeflossen sind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. Die überarbeitete </w:t>
      </w:r>
      <w:r w:rsidR="00000D0B">
        <w:rPr>
          <w:rFonts w:ascii="Courier New" w:hAnsi="Courier New" w:cs="Courier New"/>
          <w:sz w:val="20"/>
          <w:szCs w:val="20"/>
        </w:rPr>
        <w:t>Richtlin</w:t>
      </w:r>
      <w:r w:rsidR="003D0AD5">
        <w:rPr>
          <w:rFonts w:ascii="Courier New" w:hAnsi="Courier New" w:cs="Courier New"/>
          <w:sz w:val="20"/>
          <w:szCs w:val="20"/>
        </w:rPr>
        <w:t>i</w:t>
      </w:r>
      <w:r w:rsidR="00000D0B">
        <w:rPr>
          <w:rFonts w:ascii="Courier New" w:hAnsi="Courier New" w:cs="Courier New"/>
          <w:sz w:val="20"/>
          <w:szCs w:val="20"/>
        </w:rPr>
        <w:t>e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kann </w:t>
      </w:r>
      <w:r w:rsidR="00000D0B">
        <w:rPr>
          <w:rFonts w:ascii="Courier New" w:hAnsi="Courier New" w:cs="Courier New"/>
          <w:sz w:val="20"/>
          <w:szCs w:val="20"/>
        </w:rPr>
        <w:t>nun</w:t>
      </w:r>
      <w:r w:rsidR="00335E16" w:rsidRPr="005C4D81">
        <w:rPr>
          <w:rFonts w:ascii="Courier New" w:hAnsi="Courier New" w:cs="Courier New"/>
          <w:sz w:val="20"/>
          <w:szCs w:val="20"/>
        </w:rPr>
        <w:t xml:space="preserve"> über den </w:t>
      </w:r>
      <w:r w:rsidR="00000D0B">
        <w:rPr>
          <w:rFonts w:ascii="Courier New" w:hAnsi="Courier New" w:cs="Courier New"/>
          <w:sz w:val="20"/>
          <w:szCs w:val="20"/>
        </w:rPr>
        <w:t xml:space="preserve">VDWF </w:t>
      </w:r>
      <w:r w:rsidR="00335E16" w:rsidRPr="005C4D81">
        <w:rPr>
          <w:rFonts w:ascii="Courier New" w:hAnsi="Courier New" w:cs="Courier New"/>
          <w:sz w:val="20"/>
          <w:szCs w:val="20"/>
        </w:rPr>
        <w:t>bezogen werden.</w:t>
      </w:r>
    </w:p>
    <w:p w14:paraId="7E91238F" w14:textId="77777777" w:rsid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72435F2" w14:textId="77777777" w:rsidR="005C4D81" w:rsidRP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D893C9E" w14:textId="4DC79D9F" w:rsidR="008F0138" w:rsidRPr="005C4D81" w:rsidRDefault="005448C1" w:rsidP="005C4D8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C4D81">
        <w:rPr>
          <w:rFonts w:ascii="Courier New" w:hAnsi="Courier New" w:cs="Courier New"/>
          <w:b/>
          <w:bCs/>
          <w:sz w:val="20"/>
          <w:szCs w:val="20"/>
        </w:rPr>
        <w:t>Farben für</w:t>
      </w:r>
      <w:r w:rsidR="00102920" w:rsidRPr="005C4D8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5C4D81">
        <w:rPr>
          <w:rFonts w:ascii="Courier New" w:hAnsi="Courier New" w:cs="Courier New"/>
          <w:b/>
          <w:bCs/>
          <w:sz w:val="20"/>
          <w:szCs w:val="20"/>
        </w:rPr>
        <w:t>a</w:t>
      </w:r>
      <w:r w:rsidR="00102920" w:rsidRPr="005C4D81">
        <w:rPr>
          <w:rFonts w:ascii="Courier New" w:hAnsi="Courier New" w:cs="Courier New"/>
          <w:b/>
          <w:bCs/>
          <w:sz w:val="20"/>
          <w:szCs w:val="20"/>
        </w:rPr>
        <w:t>symmetrische Toleranzfeldlagen</w:t>
      </w:r>
    </w:p>
    <w:p w14:paraId="58CC790D" w14:textId="77777777" w:rsid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694552F" w14:textId="4509A8EF" w:rsidR="005C4D81" w:rsidRDefault="001D23A7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Abgesehen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 von </w:t>
      </w:r>
      <w:r w:rsidR="00000D0B">
        <w:rPr>
          <w:rFonts w:ascii="Courier New" w:hAnsi="Courier New" w:cs="Courier New"/>
          <w:sz w:val="20"/>
          <w:szCs w:val="20"/>
        </w:rPr>
        <w:t>der Spezifizierung der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5C4D81" w:rsidRPr="005C4D81">
        <w:rPr>
          <w:rFonts w:ascii="Courier New" w:hAnsi="Courier New" w:cs="Courier New"/>
          <w:sz w:val="20"/>
          <w:szCs w:val="20"/>
        </w:rPr>
        <w:t>Abnahmebedingungen für Kunststoff-Bauteile war</w:t>
      </w:r>
      <w:r>
        <w:rPr>
          <w:rFonts w:ascii="Courier New" w:hAnsi="Courier New" w:cs="Courier New"/>
          <w:sz w:val="20"/>
          <w:szCs w:val="20"/>
        </w:rPr>
        <w:t xml:space="preserve"> die </w:t>
      </w:r>
      <w:r w:rsidR="00466194">
        <w:rPr>
          <w:rFonts w:ascii="Courier New" w:hAnsi="Courier New" w:cs="Courier New"/>
          <w:sz w:val="20"/>
          <w:szCs w:val="20"/>
        </w:rPr>
        <w:t>umfangreichste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 Ergänzung der Richtlinie </w:t>
      </w:r>
      <w:r w:rsidR="005E5780">
        <w:rPr>
          <w:rFonts w:ascii="Courier New" w:hAnsi="Courier New" w:cs="Courier New"/>
          <w:sz w:val="20"/>
          <w:szCs w:val="20"/>
        </w:rPr>
        <w:t>die Erweiterung der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 Farbtabelle</w:t>
      </w:r>
      <w:r w:rsidR="005E5780">
        <w:rPr>
          <w:rFonts w:ascii="Courier New" w:hAnsi="Courier New" w:cs="Courier New"/>
          <w:sz w:val="20"/>
          <w:szCs w:val="20"/>
        </w:rPr>
        <w:t>n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 </w:t>
      </w:r>
      <w:r w:rsidR="005E5780">
        <w:rPr>
          <w:rFonts w:ascii="Courier New" w:hAnsi="Courier New" w:cs="Courier New"/>
          <w:sz w:val="20"/>
          <w:szCs w:val="20"/>
        </w:rPr>
        <w:t>um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 asymmetrische Toleranzfeldlagen.</w:t>
      </w:r>
      <w:r w:rsidR="00CD33A8" w:rsidRPr="005C4D81">
        <w:rPr>
          <w:rFonts w:ascii="Courier New" w:hAnsi="Courier New" w:cs="Courier New"/>
          <w:sz w:val="20"/>
          <w:szCs w:val="20"/>
        </w:rPr>
        <w:t xml:space="preserve"> „Unausgesprochen wird 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von </w:t>
      </w:r>
      <w:r w:rsidR="00000D0B">
        <w:rPr>
          <w:rFonts w:ascii="Courier New" w:hAnsi="Courier New" w:cs="Courier New"/>
          <w:sz w:val="20"/>
          <w:szCs w:val="20"/>
        </w:rPr>
        <w:t xml:space="preserve">den 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Kunden </w:t>
      </w:r>
      <w:r w:rsidR="00000D0B">
        <w:rPr>
          <w:rFonts w:ascii="Courier New" w:hAnsi="Courier New" w:cs="Courier New"/>
          <w:sz w:val="20"/>
          <w:szCs w:val="20"/>
        </w:rPr>
        <w:t xml:space="preserve">der Werkzeugmacher </w:t>
      </w:r>
      <w:r w:rsidR="00CD33A8" w:rsidRPr="005C4D81">
        <w:rPr>
          <w:rFonts w:ascii="Courier New" w:hAnsi="Courier New" w:cs="Courier New"/>
          <w:sz w:val="20"/>
          <w:szCs w:val="20"/>
        </w:rPr>
        <w:t>oft erwartet, dass das Ist-Maß der Werkzeugbauteile in der Toleranzmitte liegt</w:t>
      </w:r>
      <w:r w:rsidR="00573DC8" w:rsidRPr="005C4D81">
        <w:rPr>
          <w:rFonts w:ascii="Courier New" w:hAnsi="Courier New" w:cs="Courier New"/>
          <w:sz w:val="20"/>
          <w:szCs w:val="20"/>
        </w:rPr>
        <w:t>, sodass sich diese problemlos fügen lassen</w:t>
      </w:r>
      <w:r w:rsidR="00CD33A8" w:rsidRPr="005C4D81">
        <w:rPr>
          <w:rFonts w:ascii="Courier New" w:hAnsi="Courier New" w:cs="Courier New"/>
          <w:sz w:val="20"/>
          <w:szCs w:val="20"/>
        </w:rPr>
        <w:t xml:space="preserve"> </w:t>
      </w:r>
      <w:r w:rsidR="00573DC8" w:rsidRPr="005C4D81">
        <w:rPr>
          <w:rFonts w:ascii="Courier New" w:hAnsi="Courier New" w:cs="Courier New"/>
          <w:sz w:val="20"/>
          <w:szCs w:val="20"/>
        </w:rPr>
        <w:t>– in der Praxis ist das bei der Unikatfertigung in der Werkzeugbau-Branche aber nur mit einem immensen Aufwand umsetzbar</w:t>
      </w:r>
      <w:r w:rsidR="0026323A" w:rsidRPr="005C4D81">
        <w:rPr>
          <w:rFonts w:ascii="Courier New" w:hAnsi="Courier New" w:cs="Courier New"/>
          <w:sz w:val="20"/>
          <w:szCs w:val="20"/>
        </w:rPr>
        <w:t xml:space="preserve"> und damit ein Problem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“, erklärt </w:t>
      </w:r>
      <w:r w:rsidR="0026323A" w:rsidRPr="005C4D81">
        <w:rPr>
          <w:rFonts w:ascii="Courier New" w:hAnsi="Courier New" w:cs="Courier New"/>
          <w:sz w:val="20"/>
          <w:szCs w:val="20"/>
        </w:rPr>
        <w:t>Dirk Falke, Leiter des VDWF-Arbeitskreises „Farbtabelle“ und Inhaber des Ingenieurbüros Falke</w:t>
      </w:r>
      <w:r w:rsidR="005E5780">
        <w:rPr>
          <w:rFonts w:ascii="Courier New" w:hAnsi="Courier New" w:cs="Courier New"/>
          <w:sz w:val="20"/>
          <w:szCs w:val="20"/>
        </w:rPr>
        <w:t>.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 </w:t>
      </w:r>
      <w:r w:rsidR="005E5780">
        <w:rPr>
          <w:rFonts w:ascii="Courier New" w:hAnsi="Courier New" w:cs="Courier New"/>
          <w:sz w:val="20"/>
          <w:szCs w:val="20"/>
        </w:rPr>
        <w:t>Er</w:t>
      </w:r>
      <w:r w:rsidR="00573DC8" w:rsidRPr="005C4D81">
        <w:rPr>
          <w:rFonts w:ascii="Courier New" w:hAnsi="Courier New" w:cs="Courier New"/>
          <w:sz w:val="20"/>
          <w:szCs w:val="20"/>
        </w:rPr>
        <w:t xml:space="preserve"> ergänzt: „Die Tolerierung einer Toleranz gibt es nun einmal nicht!“</w:t>
      </w:r>
      <w:r w:rsidR="005448C1" w:rsidRPr="005C4D81">
        <w:rPr>
          <w:rFonts w:ascii="Courier New" w:hAnsi="Courier New" w:cs="Courier New"/>
          <w:sz w:val="20"/>
          <w:szCs w:val="20"/>
        </w:rPr>
        <w:t xml:space="preserve"> Daher wurden in der VDWF-Richtlinie die Toleranzfelder vom Nennmaß in die asymmetrische Richtung verschoben. „Vorausgesetzt</w:t>
      </w:r>
      <w:r w:rsidR="003D0AD5">
        <w:rPr>
          <w:rFonts w:ascii="Courier New" w:hAnsi="Courier New" w:cs="Courier New"/>
          <w:sz w:val="20"/>
          <w:szCs w:val="20"/>
        </w:rPr>
        <w:t>,</w:t>
      </w:r>
      <w:r w:rsidR="005448C1" w:rsidRPr="005C4D81">
        <w:rPr>
          <w:rFonts w:ascii="Courier New" w:hAnsi="Courier New" w:cs="Courier New"/>
          <w:sz w:val="20"/>
          <w:szCs w:val="20"/>
        </w:rPr>
        <w:t xml:space="preserve"> die Flächen sind rechtwinklig oder </w:t>
      </w:r>
      <w:r w:rsidR="005448C1" w:rsidRPr="005C4D81">
        <w:rPr>
          <w:rFonts w:ascii="Courier New" w:hAnsi="Courier New" w:cs="Courier New"/>
          <w:sz w:val="20"/>
          <w:szCs w:val="20"/>
        </w:rPr>
        <w:lastRenderedPageBreak/>
        <w:t>parallel, schaffen wir damit auf jeden Fall einen Spielraum bezüglich der Toler</w:t>
      </w:r>
      <w:r w:rsidR="001374C8" w:rsidRPr="005C4D81">
        <w:rPr>
          <w:rFonts w:ascii="Courier New" w:hAnsi="Courier New" w:cs="Courier New"/>
          <w:sz w:val="20"/>
          <w:szCs w:val="20"/>
        </w:rPr>
        <w:t>a</w:t>
      </w:r>
      <w:r w:rsidR="005448C1" w:rsidRPr="005C4D81">
        <w:rPr>
          <w:rFonts w:ascii="Courier New" w:hAnsi="Courier New" w:cs="Courier New"/>
          <w:sz w:val="20"/>
          <w:szCs w:val="20"/>
        </w:rPr>
        <w:t>nzen“, so Falke.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 </w:t>
      </w:r>
    </w:p>
    <w:p w14:paraId="640E1759" w14:textId="77777777" w:rsid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771AD922" w14:textId="77777777" w:rsidR="005C4D81" w:rsidRP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6D3A770B" w14:textId="386EDAC1" w:rsidR="008F0138" w:rsidRPr="005C4D81" w:rsidRDefault="005C4D81" w:rsidP="005C4D8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C4D81">
        <w:rPr>
          <w:rFonts w:ascii="Courier New" w:hAnsi="Courier New" w:cs="Courier New"/>
          <w:b/>
          <w:bCs/>
          <w:sz w:val="20"/>
          <w:szCs w:val="20"/>
        </w:rPr>
        <w:t>Trend zu direkte</w:t>
      </w:r>
      <w:r w:rsidR="00CF441D">
        <w:rPr>
          <w:rFonts w:ascii="Courier New" w:hAnsi="Courier New" w:cs="Courier New"/>
          <w:b/>
          <w:bCs/>
          <w:sz w:val="20"/>
          <w:szCs w:val="20"/>
        </w:rPr>
        <w:t>m</w:t>
      </w:r>
      <w:r w:rsidRPr="005C4D81">
        <w:rPr>
          <w:rFonts w:ascii="Courier New" w:hAnsi="Courier New" w:cs="Courier New"/>
          <w:b/>
          <w:bCs/>
          <w:sz w:val="20"/>
          <w:szCs w:val="20"/>
        </w:rPr>
        <w:t xml:space="preserve"> CAD-Zugang in </w:t>
      </w:r>
      <w:r w:rsidR="00FA7571">
        <w:rPr>
          <w:rFonts w:ascii="Courier New" w:hAnsi="Courier New" w:cs="Courier New"/>
          <w:b/>
          <w:bCs/>
          <w:sz w:val="20"/>
          <w:szCs w:val="20"/>
        </w:rPr>
        <w:t>der Fertigung</w:t>
      </w:r>
    </w:p>
    <w:p w14:paraId="5E1DEBDD" w14:textId="77777777" w:rsidR="005C4D81" w:rsidRDefault="005C4D81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57A98DB" w14:textId="5171552C" w:rsidR="004D3794" w:rsidRDefault="00AB0D32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5C4D81">
        <w:rPr>
          <w:rFonts w:ascii="Courier New" w:hAnsi="Courier New" w:cs="Courier New"/>
          <w:sz w:val="20"/>
          <w:szCs w:val="20"/>
        </w:rPr>
        <w:t>Die Mitglieder des Arbeitskreises stammen zum Großteil aus Unternehmen, die bereits Erfahrung im Bereich der Farbtabellenentwicklung haben</w:t>
      </w:r>
      <w:r w:rsidR="004D3794" w:rsidRPr="005C4D81">
        <w:rPr>
          <w:rFonts w:ascii="Courier New" w:hAnsi="Courier New" w:cs="Courier New"/>
          <w:sz w:val="20"/>
          <w:szCs w:val="20"/>
        </w:rPr>
        <w:t xml:space="preserve"> und </w:t>
      </w:r>
      <w:r w:rsidR="00A74F31">
        <w:rPr>
          <w:rFonts w:ascii="Courier New" w:hAnsi="Courier New" w:cs="Courier New"/>
          <w:sz w:val="20"/>
          <w:szCs w:val="20"/>
        </w:rPr>
        <w:t>derartige</w:t>
      </w:r>
      <w:r w:rsidR="004D3794" w:rsidRPr="005C4D81">
        <w:rPr>
          <w:rFonts w:ascii="Courier New" w:hAnsi="Courier New" w:cs="Courier New"/>
          <w:sz w:val="20"/>
          <w:szCs w:val="20"/>
        </w:rPr>
        <w:t xml:space="preserve"> </w:t>
      </w:r>
      <w:r w:rsidR="005E5780">
        <w:rPr>
          <w:rFonts w:ascii="Courier New" w:hAnsi="Courier New" w:cs="Courier New"/>
          <w:sz w:val="20"/>
          <w:szCs w:val="20"/>
        </w:rPr>
        <w:t>Codierungen</w:t>
      </w:r>
      <w:r w:rsidR="004D3794" w:rsidRPr="005C4D81">
        <w:rPr>
          <w:rFonts w:ascii="Courier New" w:hAnsi="Courier New" w:cs="Courier New"/>
          <w:sz w:val="20"/>
          <w:szCs w:val="20"/>
        </w:rPr>
        <w:t xml:space="preserve"> seit Jahren in ihre Produktionsprozesse integrieren. 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Entsprechend genau wurde die </w:t>
      </w:r>
      <w:r w:rsidR="00FA7571">
        <w:rPr>
          <w:rFonts w:ascii="Courier New" w:hAnsi="Courier New" w:cs="Courier New"/>
          <w:sz w:val="20"/>
          <w:szCs w:val="20"/>
        </w:rPr>
        <w:t>VDWF-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Richtlinie in den vergangenen Jahren auf Herz und Nieren geprüft. </w:t>
      </w:r>
      <w:r w:rsidRPr="005C4D81">
        <w:rPr>
          <w:rFonts w:ascii="Courier New" w:hAnsi="Courier New" w:cs="Courier New"/>
          <w:sz w:val="20"/>
          <w:szCs w:val="20"/>
        </w:rPr>
        <w:t xml:space="preserve">„Aus dem </w:t>
      </w:r>
      <w:r w:rsidR="005C4D81" w:rsidRPr="005C4D81">
        <w:rPr>
          <w:rFonts w:ascii="Courier New" w:hAnsi="Courier New" w:cs="Courier New"/>
          <w:sz w:val="20"/>
          <w:szCs w:val="20"/>
        </w:rPr>
        <w:t>Nutzerf</w:t>
      </w:r>
      <w:r w:rsidRPr="005C4D81">
        <w:rPr>
          <w:rFonts w:ascii="Courier New" w:hAnsi="Courier New" w:cs="Courier New"/>
          <w:sz w:val="20"/>
          <w:szCs w:val="20"/>
        </w:rPr>
        <w:t xml:space="preserve">eedback und unseren eigenen Erfahrungen haben wir viele Erkenntnisse gewonnen und diese nun in die Überarbeitung </w:t>
      </w:r>
      <w:r w:rsidR="00FA7571">
        <w:rPr>
          <w:rFonts w:ascii="Courier New" w:hAnsi="Courier New" w:cs="Courier New"/>
          <w:sz w:val="20"/>
          <w:szCs w:val="20"/>
        </w:rPr>
        <w:t xml:space="preserve">der Richtlinie </w:t>
      </w:r>
      <w:r w:rsidRPr="005C4D81">
        <w:rPr>
          <w:rFonts w:ascii="Courier New" w:hAnsi="Courier New" w:cs="Courier New"/>
          <w:sz w:val="20"/>
          <w:szCs w:val="20"/>
        </w:rPr>
        <w:t xml:space="preserve">einfließen lassen“, sagt Falke. 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Dass die </w:t>
      </w:r>
      <w:r w:rsidR="005E5780">
        <w:rPr>
          <w:rFonts w:ascii="Courier New" w:hAnsi="Courier New" w:cs="Courier New"/>
          <w:sz w:val="20"/>
          <w:szCs w:val="20"/>
        </w:rPr>
        <w:t>VDWF-</w:t>
      </w:r>
      <w:r w:rsidR="005C4D81" w:rsidRPr="005C4D81">
        <w:rPr>
          <w:rFonts w:ascii="Courier New" w:hAnsi="Courier New" w:cs="Courier New"/>
          <w:sz w:val="20"/>
          <w:szCs w:val="20"/>
        </w:rPr>
        <w:t>Farbtabelle</w:t>
      </w:r>
      <w:r w:rsidR="00A74F31">
        <w:rPr>
          <w:rFonts w:ascii="Courier New" w:hAnsi="Courier New" w:cs="Courier New"/>
          <w:sz w:val="20"/>
          <w:szCs w:val="20"/>
        </w:rPr>
        <w:t xml:space="preserve"> </w:t>
      </w:r>
      <w:r w:rsidR="00FA7571">
        <w:rPr>
          <w:rFonts w:ascii="Courier New" w:hAnsi="Courier New" w:cs="Courier New"/>
          <w:sz w:val="20"/>
          <w:szCs w:val="20"/>
        </w:rPr>
        <w:t>auch weiterhin an Relevanz gewinnt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, </w:t>
      </w:r>
      <w:r w:rsidR="00A74F31">
        <w:rPr>
          <w:rFonts w:ascii="Courier New" w:hAnsi="Courier New" w:cs="Courier New"/>
          <w:sz w:val="20"/>
          <w:szCs w:val="20"/>
        </w:rPr>
        <w:t>dessen ist er sich sicher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: „Der Trend geht eindeutig weg von Fertigungszeichnungen hin zu einem direkten CAD-Zugang in den Maschinenhallen und Werkstätten des Werkzeug- und Formenbaus – von einer erprobten </w:t>
      </w:r>
      <w:r w:rsidR="007F53C0">
        <w:rPr>
          <w:rFonts w:ascii="Courier New" w:hAnsi="Courier New" w:cs="Courier New"/>
          <w:sz w:val="20"/>
          <w:szCs w:val="20"/>
        </w:rPr>
        <w:t xml:space="preserve">Vereinheitlichung der </w:t>
      </w:r>
      <w:r w:rsidR="005C4D81" w:rsidRPr="005C4D81">
        <w:rPr>
          <w:rFonts w:ascii="Courier New" w:hAnsi="Courier New" w:cs="Courier New"/>
          <w:sz w:val="20"/>
          <w:szCs w:val="20"/>
        </w:rPr>
        <w:t>Darstellung</w:t>
      </w:r>
      <w:r w:rsidR="007F53C0">
        <w:rPr>
          <w:rFonts w:ascii="Courier New" w:hAnsi="Courier New" w:cs="Courier New"/>
          <w:sz w:val="20"/>
          <w:szCs w:val="20"/>
        </w:rPr>
        <w:t xml:space="preserve"> von Konstruktionszeichnungen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 können deshalb </w:t>
      </w:r>
      <w:r w:rsidR="00FA7571">
        <w:rPr>
          <w:rFonts w:ascii="Courier New" w:hAnsi="Courier New" w:cs="Courier New"/>
          <w:sz w:val="20"/>
          <w:szCs w:val="20"/>
        </w:rPr>
        <w:t>alle nur</w:t>
      </w:r>
      <w:r w:rsidR="005C4D81" w:rsidRPr="005C4D81">
        <w:rPr>
          <w:rFonts w:ascii="Courier New" w:hAnsi="Courier New" w:cs="Courier New"/>
          <w:sz w:val="20"/>
          <w:szCs w:val="20"/>
        </w:rPr>
        <w:t xml:space="preserve"> profitieren.“ </w:t>
      </w:r>
    </w:p>
    <w:p w14:paraId="03DD5C6B" w14:textId="5E2F29C5" w:rsidR="00394F2A" w:rsidRDefault="00394F2A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2624D8C" w14:textId="5BFEEA05" w:rsidR="00394F2A" w:rsidRDefault="00394F2A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Die Rich</w:t>
      </w:r>
      <w:r w:rsidR="003D0AD5">
        <w:rPr>
          <w:rFonts w:ascii="Courier New" w:hAnsi="Courier New" w:cs="Courier New"/>
          <w:sz w:val="20"/>
          <w:szCs w:val="20"/>
        </w:rPr>
        <w:t>t</w:t>
      </w:r>
      <w:r>
        <w:rPr>
          <w:rFonts w:ascii="Courier New" w:hAnsi="Courier New" w:cs="Courier New"/>
          <w:sz w:val="20"/>
          <w:szCs w:val="20"/>
        </w:rPr>
        <w:t xml:space="preserve">linie </w:t>
      </w:r>
      <w:r w:rsidR="006045EF">
        <w:rPr>
          <w:rFonts w:ascii="Courier New" w:hAnsi="Courier New" w:cs="Courier New"/>
          <w:sz w:val="20"/>
          <w:szCs w:val="20"/>
        </w:rPr>
        <w:t>ist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122B3E">
        <w:rPr>
          <w:rFonts w:ascii="Courier New" w:hAnsi="Courier New" w:cs="Courier New"/>
          <w:sz w:val="20"/>
          <w:szCs w:val="20"/>
        </w:rPr>
        <w:t xml:space="preserve">über die Website des VDWF </w:t>
      </w:r>
      <w:r w:rsidR="006045EF">
        <w:rPr>
          <w:rFonts w:ascii="Courier New" w:hAnsi="Courier New" w:cs="Courier New"/>
          <w:sz w:val="20"/>
          <w:szCs w:val="20"/>
        </w:rPr>
        <w:t>kostenfrei als PDF erhältlich</w:t>
      </w:r>
      <w:r>
        <w:rPr>
          <w:rFonts w:ascii="Courier New" w:hAnsi="Courier New" w:cs="Courier New"/>
          <w:sz w:val="20"/>
          <w:szCs w:val="20"/>
        </w:rPr>
        <w:t>:</w:t>
      </w:r>
    </w:p>
    <w:p w14:paraId="78044850" w14:textId="3CE4F35E" w:rsidR="00394F2A" w:rsidRPr="005C4D81" w:rsidRDefault="00394F2A" w:rsidP="005C4D8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www.vdwf.de/</w:t>
      </w:r>
      <w:r w:rsidR="006045EF">
        <w:rPr>
          <w:rFonts w:ascii="Courier New" w:hAnsi="Courier New" w:cs="Courier New"/>
          <w:sz w:val="20"/>
          <w:szCs w:val="20"/>
        </w:rPr>
        <w:t>farbtabelle</w:t>
      </w:r>
    </w:p>
    <w:p w14:paraId="722F2458" w14:textId="77777777" w:rsidR="006718A1" w:rsidRPr="00F04AC7" w:rsidRDefault="006718A1" w:rsidP="006718A1">
      <w:pPr>
        <w:spacing w:line="36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b/>
          <w:bCs/>
          <w:sz w:val="20"/>
          <w:szCs w:val="20"/>
        </w:rPr>
        <w:t>Bildunterschriften</w:t>
      </w:r>
    </w:p>
    <w:p w14:paraId="1592339D" w14:textId="77777777" w:rsidR="006718A1" w:rsidRPr="00F04AC7" w:rsidRDefault="006718A1" w:rsidP="006718A1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14:paraId="0AA4DE4C" w14:textId="52DF704E" w:rsidR="006718A1" w:rsidRDefault="006718A1" w:rsidP="006718A1">
      <w:pPr>
        <w:tabs>
          <w:tab w:val="left" w:pos="1188"/>
        </w:tabs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693E1438" wp14:editId="63412C7E">
            <wp:extent cx="2082857" cy="1215000"/>
            <wp:effectExtent l="12700" t="12700" r="12700" b="1714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57" cy="1215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br/>
      </w:r>
      <w:r w:rsidRPr="006718A1">
        <w:rPr>
          <w:rFonts w:ascii="Courier New" w:hAnsi="Courier New" w:cs="Courier New"/>
          <w:b/>
          <w:bCs/>
          <w:sz w:val="20"/>
          <w:szCs w:val="20"/>
        </w:rPr>
        <w:t>vdwf_farbtabelle_asymmetrische_toleranzen.jpg</w:t>
      </w:r>
    </w:p>
    <w:p w14:paraId="60E4530D" w14:textId="3235AD81" w:rsidR="006718A1" w:rsidRPr="006718A1" w:rsidRDefault="006718A1" w:rsidP="006718A1">
      <w:pPr>
        <w:tabs>
          <w:tab w:val="left" w:pos="1188"/>
        </w:tabs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6718A1">
        <w:rPr>
          <w:rFonts w:ascii="Courier New" w:hAnsi="Courier New" w:cs="Courier New"/>
          <w:sz w:val="20"/>
          <w:szCs w:val="20"/>
        </w:rPr>
        <w:t>(Bild: VDWF)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Neben</w:t>
      </w:r>
      <w:r w:rsidRPr="005C4D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der Spezifizierung der </w:t>
      </w:r>
      <w:r w:rsidRPr="005C4D81">
        <w:rPr>
          <w:rFonts w:ascii="Courier New" w:hAnsi="Courier New" w:cs="Courier New"/>
          <w:sz w:val="20"/>
          <w:szCs w:val="20"/>
        </w:rPr>
        <w:t>Abnahmebedingungen für Kunststoff-Bauteile war</w:t>
      </w:r>
      <w:r>
        <w:rPr>
          <w:rFonts w:ascii="Courier New" w:hAnsi="Courier New" w:cs="Courier New"/>
          <w:sz w:val="20"/>
          <w:szCs w:val="20"/>
        </w:rPr>
        <w:t xml:space="preserve"> die umfangreichste</w:t>
      </w:r>
      <w:r w:rsidRPr="005C4D81">
        <w:rPr>
          <w:rFonts w:ascii="Courier New" w:hAnsi="Courier New" w:cs="Courier New"/>
          <w:sz w:val="20"/>
          <w:szCs w:val="20"/>
        </w:rPr>
        <w:t xml:space="preserve"> Ergänzung der </w:t>
      </w:r>
      <w:r>
        <w:rPr>
          <w:rFonts w:ascii="Courier New" w:hAnsi="Courier New" w:cs="Courier New"/>
          <w:sz w:val="20"/>
          <w:szCs w:val="20"/>
        </w:rPr>
        <w:t>VDWF-</w:t>
      </w:r>
      <w:r w:rsidRPr="005C4D81">
        <w:rPr>
          <w:rFonts w:ascii="Courier New" w:hAnsi="Courier New" w:cs="Courier New"/>
          <w:sz w:val="20"/>
          <w:szCs w:val="20"/>
        </w:rPr>
        <w:t xml:space="preserve">Richtlinie </w:t>
      </w:r>
      <w:r>
        <w:rPr>
          <w:rFonts w:ascii="Courier New" w:hAnsi="Courier New" w:cs="Courier New"/>
          <w:sz w:val="20"/>
          <w:szCs w:val="20"/>
        </w:rPr>
        <w:t>die Erweiterung der</w:t>
      </w:r>
      <w:r w:rsidRPr="005C4D81">
        <w:rPr>
          <w:rFonts w:ascii="Courier New" w:hAnsi="Courier New" w:cs="Courier New"/>
          <w:sz w:val="20"/>
          <w:szCs w:val="20"/>
        </w:rPr>
        <w:t xml:space="preserve"> Farbtabelle</w:t>
      </w:r>
      <w:r>
        <w:rPr>
          <w:rFonts w:ascii="Courier New" w:hAnsi="Courier New" w:cs="Courier New"/>
          <w:sz w:val="20"/>
          <w:szCs w:val="20"/>
        </w:rPr>
        <w:t>n</w:t>
      </w:r>
      <w:r w:rsidRPr="005C4D8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um</w:t>
      </w:r>
      <w:r w:rsidRPr="005C4D81">
        <w:rPr>
          <w:rFonts w:ascii="Courier New" w:hAnsi="Courier New" w:cs="Courier New"/>
          <w:sz w:val="20"/>
          <w:szCs w:val="20"/>
        </w:rPr>
        <w:t xml:space="preserve"> asymmetrische Toleranzfeldlagen.</w:t>
      </w:r>
    </w:p>
    <w:p w14:paraId="6392121A" w14:textId="5051AB10" w:rsidR="00CD33A8" w:rsidRPr="005C4D81" w:rsidRDefault="006718A1" w:rsidP="006718A1">
      <w:p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67608DD3" wp14:editId="64BF5B39">
            <wp:extent cx="1680739" cy="1215000"/>
            <wp:effectExtent l="12700" t="12700" r="8890" b="171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739" cy="1215000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</w:rPr>
        <w:br/>
        <w:t>abb_1</w:t>
      </w:r>
      <w:r w:rsidRPr="00753951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6718A1">
        <w:rPr>
          <w:rFonts w:ascii="Courier New" w:hAnsi="Courier New" w:cs="Courier New"/>
          <w:sz w:val="20"/>
          <w:szCs w:val="20"/>
        </w:rPr>
        <w:t>(Bild: VDWF)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6718A1">
        <w:rPr>
          <w:rFonts w:ascii="Courier New" w:hAnsi="Courier New" w:cs="Courier New"/>
          <w:sz w:val="20"/>
          <w:szCs w:val="20"/>
        </w:rPr>
        <w:t xml:space="preserve">Beispielhafte Einfärbung einer Formplatte des Spritzgusswerkzeugs </w:t>
      </w:r>
      <w:r w:rsidR="003D0AD5">
        <w:rPr>
          <w:rFonts w:ascii="Courier New" w:hAnsi="Courier New" w:cs="Courier New"/>
          <w:sz w:val="20"/>
          <w:szCs w:val="20"/>
        </w:rPr>
        <w:t>„</w:t>
      </w:r>
      <w:proofErr w:type="spellStart"/>
      <w:r w:rsidRPr="006718A1">
        <w:rPr>
          <w:rFonts w:ascii="Courier New" w:hAnsi="Courier New" w:cs="Courier New"/>
          <w:sz w:val="20"/>
          <w:szCs w:val="20"/>
        </w:rPr>
        <w:t>Polyman</w:t>
      </w:r>
      <w:proofErr w:type="spellEnd"/>
      <w:r w:rsidR="003D0AD5">
        <w:rPr>
          <w:rFonts w:ascii="Courier New" w:hAnsi="Courier New" w:cs="Courier New"/>
          <w:sz w:val="20"/>
          <w:szCs w:val="20"/>
        </w:rPr>
        <w:t>“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52460E87" wp14:editId="7168F099">
            <wp:extent cx="1438294" cy="1215000"/>
            <wp:effectExtent l="12700" t="12700" r="9525" b="171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94" cy="1215000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</w:rPr>
        <w:br/>
        <w:t>abb_2</w:t>
      </w:r>
      <w:r w:rsidRPr="00753951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6718A1">
        <w:rPr>
          <w:rFonts w:ascii="Courier New" w:hAnsi="Courier New" w:cs="Courier New"/>
          <w:sz w:val="20"/>
          <w:szCs w:val="20"/>
        </w:rPr>
        <w:t>(Bild: VDWF)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6718A1">
        <w:rPr>
          <w:rFonts w:ascii="Courier New" w:hAnsi="Courier New" w:cs="Courier New"/>
          <w:sz w:val="20"/>
          <w:szCs w:val="20"/>
        </w:rPr>
        <w:t xml:space="preserve">Beispielhafte Einfärbung eines konturbildenden Bauteils des Spritzgusswerkzeugs </w:t>
      </w:r>
      <w:r w:rsidR="003D0AD5">
        <w:rPr>
          <w:rFonts w:ascii="Courier New" w:hAnsi="Courier New" w:cs="Courier New"/>
          <w:sz w:val="20"/>
          <w:szCs w:val="20"/>
        </w:rPr>
        <w:t>„</w:t>
      </w:r>
      <w:proofErr w:type="spellStart"/>
      <w:r w:rsidRPr="006718A1">
        <w:rPr>
          <w:rFonts w:ascii="Courier New" w:hAnsi="Courier New" w:cs="Courier New"/>
          <w:sz w:val="20"/>
          <w:szCs w:val="20"/>
        </w:rPr>
        <w:t>Polyman</w:t>
      </w:r>
      <w:proofErr w:type="spellEnd"/>
      <w:r w:rsidR="003D0AD5">
        <w:rPr>
          <w:rFonts w:ascii="Courier New" w:hAnsi="Courier New" w:cs="Courier New"/>
          <w:sz w:val="20"/>
          <w:szCs w:val="20"/>
        </w:rPr>
        <w:t>“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 w:rsidRPr="00F04AC7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271F405D" wp14:editId="2FA54F28">
            <wp:extent cx="1438294" cy="1052444"/>
            <wp:effectExtent l="12700" t="12700" r="9525" b="146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94" cy="1052444"/>
                    </a:xfrm>
                    <a:prstGeom prst="rect">
                      <a:avLst/>
                    </a:prstGeom>
                    <a:ln w="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b/>
          <w:bCs/>
          <w:sz w:val="20"/>
          <w:szCs w:val="20"/>
        </w:rPr>
        <w:br/>
        <w:t>abb_3</w:t>
      </w:r>
      <w:r w:rsidRPr="00753951">
        <w:rPr>
          <w:rFonts w:ascii="Courier New" w:hAnsi="Courier New" w:cs="Courier New"/>
          <w:b/>
          <w:bCs/>
          <w:sz w:val="20"/>
          <w:szCs w:val="20"/>
        </w:rPr>
        <w:t>.jpg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 w:rsidRPr="006718A1">
        <w:rPr>
          <w:rFonts w:ascii="Courier New" w:hAnsi="Courier New" w:cs="Courier New"/>
          <w:sz w:val="20"/>
          <w:szCs w:val="20"/>
        </w:rPr>
        <w:t>(Bild: VDWF)</w:t>
      </w:r>
      <w:r>
        <w:rPr>
          <w:rFonts w:ascii="Courier New" w:hAnsi="Courier New" w:cs="Courier New"/>
          <w:sz w:val="20"/>
          <w:szCs w:val="20"/>
        </w:rPr>
        <w:br/>
      </w:r>
      <w:r w:rsidRPr="006718A1">
        <w:rPr>
          <w:rFonts w:ascii="Courier New" w:hAnsi="Courier New" w:cs="Courier New"/>
          <w:sz w:val="20"/>
          <w:szCs w:val="20"/>
        </w:rPr>
        <w:t xml:space="preserve">Beispielhafte Einfärbung eines konturbildenden Schiebereinsatzes des Spritzgusswerkzeugs </w:t>
      </w:r>
      <w:r w:rsidR="003D0AD5">
        <w:rPr>
          <w:rFonts w:ascii="Courier New" w:hAnsi="Courier New" w:cs="Courier New"/>
          <w:sz w:val="20"/>
          <w:szCs w:val="20"/>
        </w:rPr>
        <w:t>„</w:t>
      </w:r>
      <w:proofErr w:type="spellStart"/>
      <w:r w:rsidRPr="006718A1">
        <w:rPr>
          <w:rFonts w:ascii="Courier New" w:hAnsi="Courier New" w:cs="Courier New"/>
          <w:sz w:val="20"/>
          <w:szCs w:val="20"/>
        </w:rPr>
        <w:t>Polyman</w:t>
      </w:r>
      <w:proofErr w:type="spellEnd"/>
      <w:r w:rsidR="003D0AD5">
        <w:rPr>
          <w:rFonts w:ascii="Courier New" w:hAnsi="Courier New" w:cs="Courier New"/>
          <w:sz w:val="20"/>
          <w:szCs w:val="20"/>
        </w:rPr>
        <w:t>“</w:t>
      </w:r>
    </w:p>
    <w:p w14:paraId="0AD22628" w14:textId="77777777" w:rsidR="006045EF" w:rsidRPr="005C4D81" w:rsidRDefault="006045EF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sectPr w:rsidR="006045EF" w:rsidRPr="005C4D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38"/>
    <w:rsid w:val="00000D0B"/>
    <w:rsid w:val="0001493C"/>
    <w:rsid w:val="00076A0D"/>
    <w:rsid w:val="00102920"/>
    <w:rsid w:val="00122B3E"/>
    <w:rsid w:val="001374C8"/>
    <w:rsid w:val="001D23A7"/>
    <w:rsid w:val="00231AD0"/>
    <w:rsid w:val="00245330"/>
    <w:rsid w:val="0026323A"/>
    <w:rsid w:val="002942B1"/>
    <w:rsid w:val="00335E16"/>
    <w:rsid w:val="00394F2A"/>
    <w:rsid w:val="003D0AD5"/>
    <w:rsid w:val="00466194"/>
    <w:rsid w:val="004976A8"/>
    <w:rsid w:val="004D3794"/>
    <w:rsid w:val="005448C1"/>
    <w:rsid w:val="00565779"/>
    <w:rsid w:val="00573DC8"/>
    <w:rsid w:val="005C4D81"/>
    <w:rsid w:val="005E5780"/>
    <w:rsid w:val="006045EF"/>
    <w:rsid w:val="00663C4C"/>
    <w:rsid w:val="006718A1"/>
    <w:rsid w:val="00741BF1"/>
    <w:rsid w:val="007F53C0"/>
    <w:rsid w:val="008D7DC0"/>
    <w:rsid w:val="008F0138"/>
    <w:rsid w:val="0097677C"/>
    <w:rsid w:val="00A324A0"/>
    <w:rsid w:val="00A41998"/>
    <w:rsid w:val="00A74F31"/>
    <w:rsid w:val="00AB0D32"/>
    <w:rsid w:val="00C67212"/>
    <w:rsid w:val="00CD33A8"/>
    <w:rsid w:val="00CF441D"/>
    <w:rsid w:val="00DE3F23"/>
    <w:rsid w:val="00FA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583D"/>
  <w15:chartTrackingRefBased/>
  <w15:docId w15:val="{6A7B8A15-A4C0-4DC0-81F8-D4ED1064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D23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23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23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23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23A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1D23A7"/>
    <w:rPr>
      <w:color w:val="0000FF"/>
      <w:u w:val="single"/>
    </w:rPr>
  </w:style>
  <w:style w:type="paragraph" w:styleId="berarbeitung">
    <w:name w:val="Revision"/>
    <w:hidden/>
    <w:uiPriority w:val="99"/>
    <w:semiHidden/>
    <w:rsid w:val="004661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8</cp:revision>
  <dcterms:created xsi:type="dcterms:W3CDTF">2023-10-05T14:14:00Z</dcterms:created>
  <dcterms:modified xsi:type="dcterms:W3CDTF">2023-10-16T14:22:00Z</dcterms:modified>
</cp:coreProperties>
</file>